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before="0" w:after="0"/>
        <w:jc w:val="left"/>
        <w:rPr/>
      </w:pPr>
      <w:bookmarkStart w:id="0" w:name="ownership.xml.htm"/>
      <w:bookmarkStart w:id="1" w:name="ksownership"/>
      <w:bookmarkEnd w:id="0"/>
      <w:bookmarkEnd w:id="1"/>
      <w:r>
        <w:rPr/>
        <w:t xml:space="preserve">SEC Form 4 </w:t>
      </w:r>
    </w:p>
    <w:tbl>
      <w:tblPr>
        <w:tblW w:w="5000" w:type="pct"/>
        <w:jc w:val="left"/>
        <w:tblInd w:w="0" w:type="dxa"/>
        <w:tblLayout w:type="fixed"/>
        <w:tblCellMar>
          <w:top w:w="60" w:type="dxa"/>
          <w:left w:w="60" w:type="dxa"/>
          <w:bottom w:w="60" w:type="dxa"/>
          <w:right w:w="60" w:type="dxa"/>
        </w:tblCellMar>
      </w:tblPr>
      <w:tblGrid>
        <w:gridCol w:w="360"/>
        <w:gridCol w:w="1888"/>
        <w:gridCol w:w="5968"/>
        <w:gridCol w:w="1989"/>
      </w:tblGrid>
      <w:tr>
        <w:trPr/>
        <w:tc>
          <w:tcPr>
            <w:tcW w:w="2248" w:type="dxa"/>
            <w:gridSpan w:val="2"/>
            <w:tcBorders/>
          </w:tcPr>
          <w:p>
            <w:pPr>
              <w:pStyle w:val="TableContents"/>
              <w:bidi w:val="0"/>
              <w:spacing w:before="0" w:after="283"/>
              <w:jc w:val="center"/>
              <w:rPr>
                <w:rFonts w:ascii="arial;helvetica;sans-serif" w:hAnsi="arial;helvetica;sans-serif"/>
                <w:b/>
                <w:sz w:val="36"/>
              </w:rPr>
            </w:pPr>
            <w:r>
              <w:rPr>
                <w:rFonts w:ascii="arial;helvetica;sans-serif" w:hAnsi="arial;helvetica;sans-serif"/>
                <w:b/>
                <w:sz w:val="36"/>
              </w:rPr>
              <w:t>FORM 4</w:t>
            </w:r>
          </w:p>
        </w:tc>
        <w:tc>
          <w:tcPr>
            <w:tcW w:w="5968" w:type="dxa"/>
            <w:vMerge w:val="restart"/>
            <w:tcBorders/>
            <w:vAlign w:val="center"/>
          </w:tcPr>
          <w:p>
            <w:pPr>
              <w:pStyle w:val="TableContents"/>
              <w:bidi w:val="0"/>
              <w:spacing w:before="0" w:after="283"/>
              <w:jc w:val="left"/>
              <w:rPr/>
            </w:pPr>
            <w:r>
              <w:rPr>
                <w:rFonts w:ascii="arial;helvetica;sans-serif" w:hAnsi="arial;helvetica;sans-serif"/>
                <w:b/>
                <w:sz w:val="28"/>
              </w:rPr>
              <w:t>UNITED STATES SECURITIES AND EXCHANGE COMMISSION</w:t>
            </w:r>
            <w:r>
              <w:rPr/>
              <w:br/>
            </w:r>
            <w:r>
              <w:rPr>
                <w:rFonts w:ascii="arial;helvetica;sans-serif" w:hAnsi="arial;helvetica;sans-serif"/>
                <w:sz w:val="20"/>
              </w:rPr>
              <w:t>Washington, D.C. 20549</w:t>
            </w:r>
            <w:r>
              <w:rPr/>
              <w:br/>
              <w:br/>
            </w:r>
            <w:r>
              <w:rPr>
                <w:rFonts w:ascii="arial;helvetica;sans-serif" w:hAnsi="arial;helvetica;sans-serif"/>
                <w:b/>
                <w:sz w:val="28"/>
              </w:rPr>
              <w:t>STATEMENT OF CHANGES IN BENEFICIAL OWNERSHIP</w:t>
            </w:r>
            <w:r>
              <w:rPr/>
              <w:br/>
              <w:br/>
            </w:r>
            <w:r>
              <w:rPr>
                <w:rFonts w:ascii="arial;helvetica;sans-serif" w:hAnsi="arial;helvetica;sans-serif"/>
                <w:sz w:val="20"/>
              </w:rPr>
              <w:t>Filed pursuant to Section 16(a) of the Securities Exchange Act of 1934</w:t>
            </w:r>
            <w:r>
              <w:rPr/>
              <w:br/>
            </w:r>
            <w:r>
              <w:rPr>
                <w:rFonts w:ascii="arial;helvetica;sans-serif" w:hAnsi="arial;helvetica;sans-serif"/>
                <w:sz w:val="20"/>
              </w:rPr>
              <w:t>or Section 30(h) of the Investment Company Act of 1940</w:t>
            </w:r>
            <w:r>
              <w:rPr/>
              <w:t xml:space="preserve"> </w:t>
            </w:r>
          </w:p>
        </w:tc>
        <w:tc>
          <w:tcPr>
            <w:tcW w:w="1989" w:type="dxa"/>
            <w:vMerge w:val="restart"/>
            <w:tcBorders/>
          </w:tcPr>
          <w:p>
            <w:pPr>
              <w:pStyle w:val="TableContents"/>
              <w:bidi w:val="0"/>
              <w:spacing w:before="0" w:after="0"/>
              <w:jc w:val="center"/>
              <w:rPr/>
            </w:pPr>
            <w:r>
              <w:rPr/>
              <w:t xml:space="preserve">  </w:t>
            </w:r>
          </w:p>
          <w:tbl>
            <w:tblPr>
              <w:tblW w:w="5000" w:type="pct"/>
              <w:jc w:val="center"/>
              <w:tblInd w:w="0" w:type="dxa"/>
              <w:tblLayout w:type="fixed"/>
              <w:tblCellMar>
                <w:top w:w="28" w:type="dxa"/>
                <w:left w:w="28" w:type="dxa"/>
                <w:bottom w:w="28" w:type="dxa"/>
                <w:right w:w="28" w:type="dxa"/>
              </w:tblCellMar>
            </w:tblPr>
            <w:tblGrid>
              <w:gridCol w:w="1869"/>
            </w:tblGrid>
            <w:tr>
              <w:trPr/>
              <w:tc>
                <w:tcPr>
                  <w:tcW w:w="1869" w:type="dxa"/>
                  <w:tcBorders>
                    <w:top w:val="double" w:sz="2" w:space="0" w:color="808080"/>
                    <w:left w:val="double" w:sz="2" w:space="0" w:color="808080"/>
                    <w:bottom w:val="double" w:sz="2" w:space="0" w:color="808080"/>
                    <w:right w:val="double" w:sz="2" w:space="0" w:color="808080"/>
                  </w:tcBorders>
                  <w:vAlign w:val="center"/>
                </w:tcPr>
                <w:p>
                  <w:pPr>
                    <w:pStyle w:val="TableContents"/>
                    <w:bidi w:val="0"/>
                    <w:spacing w:before="0" w:after="0"/>
                    <w:jc w:val="center"/>
                    <w:rPr>
                      <w:rFonts w:ascii="arial;helvetica;sans-serif" w:hAnsi="arial;helvetica;sans-serif"/>
                      <w:b w:val="false"/>
                      <w:sz w:val="24"/>
                    </w:rPr>
                  </w:pPr>
                  <w:r>
                    <w:rPr>
                      <w:rFonts w:ascii="arial;helvetica;sans-serif" w:hAnsi="arial;helvetica;sans-serif"/>
                      <w:b w:val="false"/>
                      <w:sz w:val="24"/>
                    </w:rPr>
                    <w:t>OMB APPROVAL</w:t>
                  </w:r>
                </w:p>
                <w:tbl>
                  <w:tblPr>
                    <w:tblW w:w="5000" w:type="pct"/>
                    <w:jc w:val="left"/>
                    <w:tblInd w:w="0" w:type="dxa"/>
                    <w:tblLayout w:type="fixed"/>
                    <w:tblCellMar>
                      <w:top w:w="28" w:type="dxa"/>
                      <w:left w:w="28" w:type="dxa"/>
                      <w:bottom w:w="28" w:type="dxa"/>
                      <w:right w:w="28" w:type="dxa"/>
                    </w:tblCellMar>
                  </w:tblPr>
                  <w:tblGrid>
                    <w:gridCol w:w="1145"/>
                    <w:gridCol w:w="668"/>
                  </w:tblGrid>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OMB Number:</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3235-0287</w:t>
                        </w:r>
                      </w:p>
                    </w:tc>
                  </w:tr>
                  <w:tr>
                    <w:trPr/>
                    <w:tc>
                      <w:tcPr>
                        <w:tcW w:w="1813" w:type="dxa"/>
                        <w:gridSpan w:val="2"/>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Estimated average burden</w:t>
                        </w:r>
                      </w:p>
                    </w:tc>
                  </w:tr>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hours per response:</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0.5</w:t>
                        </w:r>
                      </w:p>
                    </w:tc>
                  </w:tr>
                </w:tbl>
                <w:p>
                  <w:pPr>
                    <w:pStyle w:val="TableContents"/>
                    <w:bidi w:val="0"/>
                    <w:spacing w:before="0" w:after="283"/>
                    <w:jc w:val="left"/>
                    <w:rPr/>
                  </w:pPr>
                  <w:r>
                    <w:rPr/>
                  </w:r>
                </w:p>
              </w:tc>
            </w:tr>
            <w:tr>
              <w:trPr/>
              <w:tc>
                <w:tcPr>
                  <w:tcW w:w="1869" w:type="dxa"/>
                  <w:tcBorders>
                    <w:left w:val="double" w:sz="2" w:space="0" w:color="808080"/>
                    <w:bottom w:val="double" w:sz="2" w:space="0" w:color="808080"/>
                    <w:right w:val="double" w:sz="2" w:space="0" w:color="808080"/>
                  </w:tcBorders>
                  <w:vAlign w:val="center"/>
                </w:tcPr>
                <w:p>
                  <w:pPr>
                    <w:pStyle w:val="TableContents"/>
                    <w:bidi w:val="0"/>
                    <w:spacing w:before="0" w:after="283"/>
                    <w:jc w:val="left"/>
                    <w:rPr>
                      <w:sz w:val="4"/>
                      <w:szCs w:val="4"/>
                    </w:rPr>
                  </w:pPr>
                  <w:r>
                    <w:rPr>
                      <w:sz w:val="4"/>
                      <w:szCs w:val="4"/>
                    </w:rPr>
                  </w:r>
                </w:p>
              </w:tc>
            </w:tr>
          </w:tbl>
          <w:p>
            <w:pPr>
              <w:pStyle w:val="TableContents"/>
              <w:bidi w:val="0"/>
              <w:spacing w:before="0" w:after="283"/>
              <w:jc w:val="left"/>
              <w:rPr>
                <w:sz w:val="4"/>
                <w:szCs w:val="4"/>
              </w:rPr>
            </w:pPr>
            <w:r>
              <w:rPr>
                <w:sz w:val="4"/>
                <w:szCs w:val="4"/>
              </w:rPr>
            </w:r>
          </w:p>
        </w:tc>
      </w:tr>
      <w:tr>
        <w:trPr/>
        <w:tc>
          <w:tcPr>
            <w:tcW w:w="360"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p>
        </w:tc>
        <w:tc>
          <w:tcPr>
            <w:tcW w:w="1888"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 xml:space="preserve">Check this box if no longer subject to Section 16. Form 4 or Form 5 obligations may continue. </w:t>
            </w:r>
            <w:r>
              <w:rPr>
                <w:rFonts w:ascii="arial;helvetica;sans-serif" w:hAnsi="arial;helvetica;sans-serif"/>
                <w:i/>
                <w:sz w:val="14"/>
              </w:rPr>
              <w:t>See</w:t>
            </w:r>
            <w:r>
              <w:rPr>
                <w:rFonts w:ascii="arial;helvetica;sans-serif" w:hAnsi="arial;helvetica;sans-serif"/>
                <w:sz w:val="14"/>
              </w:rPr>
              <w:t xml:space="preserve"> Instruction 1(b).</w:t>
            </w:r>
          </w:p>
        </w:tc>
        <w:tc>
          <w:tcPr>
            <w:tcW w:w="5968" w:type="dxa"/>
            <w:vMerge w:val="continue"/>
            <w:tcBorders/>
            <w:vAlign w:val="center"/>
          </w:tcPr>
          <w:p>
            <w:pPr>
              <w:pStyle w:val="Normal"/>
              <w:bidi w:val="0"/>
              <w:jc w:val="left"/>
              <w:rPr/>
            </w:pPr>
            <w:r>
              <w:rPr/>
            </w:r>
          </w:p>
        </w:tc>
        <w:tc>
          <w:tcPr>
            <w:tcW w:w="1989" w:type="dxa"/>
            <w:vMerge w:val="continue"/>
            <w:tcBorders/>
          </w:tcPr>
          <w:p>
            <w:pPr>
              <w:pStyle w:val="Normal"/>
              <w:bidi w:val="0"/>
              <w:jc w:val="left"/>
              <w:rPr/>
            </w:pPr>
            <w:r>
              <w:rPr/>
            </w:r>
          </w:p>
        </w:tc>
      </w:tr>
    </w:tbl>
    <w:tbl>
      <w:tblPr>
        <w:tblW w:w="5000" w:type="pct"/>
        <w:jc w:val="left"/>
        <w:tblInd w:w="-7" w:type="dxa"/>
        <w:tblLayout w:type="fixed"/>
        <w:tblCellMar>
          <w:top w:w="60" w:type="dxa"/>
          <w:left w:w="60" w:type="dxa"/>
          <w:bottom w:w="60" w:type="dxa"/>
          <w:right w:w="60" w:type="dxa"/>
        </w:tblCellMar>
      </w:tblPr>
      <w:tblGrid>
        <w:gridCol w:w="3551"/>
        <w:gridCol w:w="3552"/>
        <w:gridCol w:w="2942"/>
        <w:gridCol w:w="160"/>
      </w:tblGrid>
      <w:tr>
        <w:trPr/>
        <w:tc>
          <w:tcPr>
            <w:tcW w:w="3551" w:type="dxa"/>
            <w:vMerge w:val="restart"/>
            <w:tcBorders>
              <w:top w:val="single" w:sz="6" w:space="0" w:color="808080"/>
              <w:left w:val="single" w:sz="6"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1. Name and Address of Reporting Person</w:t>
            </w:r>
            <w:r>
              <w:rPr>
                <w:rFonts w:ascii="arial;helvetica;sans-serif" w:hAnsi="arial;helvetica;sans-serif"/>
                <w:position w:val="7"/>
                <w:sz w:val="16"/>
                <w:sz w:val="20"/>
              </w:rPr>
              <w:t>*</w:t>
            </w:r>
          </w:p>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pPr>
                  <w:hyperlink r:id="rId3">
                    <w:r>
                      <w:rPr>
                        <w:rStyle w:val="InternetLink"/>
                      </w:rPr>
                      <w:t>SAYLOR MICHAEL J</w:t>
                    </w:r>
                  </w:hyperlink>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(Last)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(First)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(Middle)</w:t>
                  </w:r>
                </w:p>
              </w:tc>
            </w:tr>
          </w:tbl>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C/O MICROSTRATEGY INCORPORATED</w:t>
                  </w:r>
                </w:p>
              </w:tc>
            </w:tr>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1850 TOWERS CRESCENT PLAZA</w:t>
                  </w:r>
                </w:p>
              </w:tc>
            </w:tr>
          </w:tbl>
          <w:p>
            <w:pPr>
              <w:pStyle w:val="HorizontalLine"/>
              <w:pBdr>
                <w:bottom w:val="double" w:sz="2" w:space="0" w:color="808080"/>
              </w:pBdr>
              <w:bidi w:val="0"/>
              <w:spacing w:before="0" w:after="283"/>
              <w:jc w:val="left"/>
              <w:rPr/>
            </w:pPr>
            <w:r>
              <w:rPr/>
            </w:r>
          </w:p>
          <w:p>
            <w:pPr>
              <w:pStyle w:val="TableContents"/>
              <w:bidi w:val="0"/>
              <w:spacing w:before="0" w:after="0"/>
              <w:jc w:val="left"/>
              <w:rPr/>
            </w:pPr>
            <w:r>
              <w:rPr>
                <w:rFonts w:ascii="arial;helvetica;sans-serif" w:hAnsi="arial;helvetica;sans-serif"/>
                <w:sz w:val="20"/>
              </w:rPr>
              <w:t>(Street)</w:t>
            </w:r>
            <w:r>
              <w:rPr/>
              <w:t xml:space="preserve"> </w:t>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TYSONS CORNER</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VA</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22182</w:t>
                  </w:r>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(City)</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(State)</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(Zip)</w:t>
                  </w:r>
                </w:p>
              </w:tc>
            </w:tr>
          </w:tbl>
          <w:p>
            <w:pPr>
              <w:pStyle w:val="TableContents"/>
              <w:bidi w:val="0"/>
              <w:spacing w:before="0" w:after="283"/>
              <w:jc w:val="left"/>
              <w:rPr>
                <w:sz w:val="4"/>
                <w:szCs w:val="4"/>
              </w:rPr>
            </w:pPr>
            <w:r>
              <w:rPr>
                <w:sz w:val="4"/>
                <w:szCs w:val="4"/>
              </w:rPr>
            </w:r>
          </w:p>
        </w:tc>
        <w:tc>
          <w:tcPr>
            <w:tcW w:w="3552"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 xml:space="preserve">2. Issuer Name </w:t>
            </w:r>
            <w:r>
              <w:rPr>
                <w:rFonts w:ascii="arial;helvetica;sans-serif" w:hAnsi="arial;helvetica;sans-serif"/>
                <w:b/>
                <w:sz w:val="20"/>
              </w:rPr>
              <w:t>and</w:t>
            </w:r>
            <w:r>
              <w:rPr>
                <w:rFonts w:ascii="arial;helvetica;sans-serif" w:hAnsi="arial;helvetica;sans-serif"/>
                <w:sz w:val="20"/>
              </w:rPr>
              <w:t xml:space="preserve"> Ticker or Trading Symbol </w:t>
            </w:r>
            <w:r>
              <w:rPr/>
              <w:br/>
            </w:r>
            <w:hyperlink r:id="rId4">
              <w:r>
                <w:rPr>
                  <w:rStyle w:val="InternetLink"/>
                </w:rPr>
                <w:t>MICROSTRATEGY Inc</w:t>
              </w:r>
            </w:hyperlink>
            <w:r>
              <w:rPr/>
              <w:t xml:space="preserve"> [ </w:t>
            </w:r>
            <w:r>
              <w:rPr>
                <w:rFonts w:ascii="Times;serif" w:hAnsi="Times;serif"/>
                <w:color w:val="0000FF"/>
                <w:sz w:val="24"/>
                <w:shd w:fill="FFFFFF" w:val="clear"/>
              </w:rPr>
              <w:t>MSTR</w:t>
            </w:r>
            <w:r>
              <w:rPr/>
              <w:t xml:space="preserve"> ] </w:t>
            </w:r>
          </w:p>
        </w:tc>
        <w:tc>
          <w:tcPr>
            <w:tcW w:w="2942" w:type="dxa"/>
            <w:vMerge w:val="restart"/>
            <w:tcBorders>
              <w:top w:val="single" w:sz="6" w:space="0" w:color="808080"/>
              <w:left w:val="single" w:sz="2" w:space="0" w:color="808080"/>
              <w:bottom w:val="single" w:sz="2" w:space="0" w:color="808080"/>
              <w:right w:val="single" w:sz="6" w:space="0" w:color="808080"/>
            </w:tcBorders>
          </w:tcPr>
          <w:p>
            <w:pPr>
              <w:pStyle w:val="TableContents"/>
              <w:bidi w:val="0"/>
              <w:spacing w:before="0" w:after="0"/>
              <w:jc w:val="left"/>
              <w:rPr/>
            </w:pPr>
            <w:r>
              <w:rPr>
                <w:rFonts w:ascii="arial;helvetica;sans-serif" w:hAnsi="arial;helvetica;sans-serif"/>
                <w:sz w:val="20"/>
              </w:rPr>
              <w:t xml:space="preserve">5. Relationship of Reporting Person(s) to Issuer </w:t>
            </w:r>
            <w:r>
              <w:rPr/>
              <w:br/>
            </w:r>
            <w:r>
              <w:rPr>
                <w:rFonts w:ascii="arial;helvetica;sans-serif" w:hAnsi="arial;helvetica;sans-serif"/>
                <w:sz w:val="20"/>
              </w:rPr>
              <w:t>(Check all applicable)</w:t>
            </w:r>
            <w:r>
              <w:rPr/>
              <w:t xml:space="preserve"> </w:t>
            </w:r>
          </w:p>
          <w:tbl>
            <w:tblPr>
              <w:tblW w:w="5000" w:type="pct"/>
              <w:jc w:val="left"/>
              <w:tblInd w:w="0" w:type="dxa"/>
              <w:tblLayout w:type="fixed"/>
              <w:tblCellMar>
                <w:top w:w="28" w:type="dxa"/>
                <w:left w:w="28" w:type="dxa"/>
                <w:bottom w:w="28" w:type="dxa"/>
                <w:right w:w="28" w:type="dxa"/>
              </w:tblCellMar>
            </w:tblPr>
            <w:tblGrid>
              <w:gridCol w:w="423"/>
              <w:gridCol w:w="988"/>
              <w:gridCol w:w="423"/>
              <w:gridCol w:w="988"/>
            </w:tblGrid>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Director</w:t>
                  </w:r>
                </w:p>
              </w:tc>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10% Owner</w:t>
                  </w:r>
                </w:p>
              </w:tc>
            </w:tr>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Officer (give title below)</w:t>
                  </w:r>
                </w:p>
              </w:tc>
              <w:tc>
                <w:tcPr>
                  <w:tcW w:w="423" w:type="dxa"/>
                  <w:tcBorders/>
                  <w:vAlign w:val="center"/>
                </w:tcPr>
                <w:p>
                  <w:pPr>
                    <w:pStyle w:val="TableContents"/>
                    <w:bidi w:val="0"/>
                    <w:spacing w:before="0" w:after="283"/>
                    <w:jc w:val="left"/>
                    <w:rPr>
                      <w:sz w:val="4"/>
                      <w:szCs w:val="4"/>
                    </w:rPr>
                  </w:pPr>
                  <w:r>
                    <w:rPr>
                      <w:sz w:val="4"/>
                      <w:szCs w:val="4"/>
                    </w:rPr>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Other (specify below)</w:t>
                  </w:r>
                </w:p>
              </w:tc>
            </w:tr>
            <w:tr>
              <w:trPr/>
              <w:tc>
                <w:tcPr>
                  <w:tcW w:w="2822" w:type="dxa"/>
                  <w:gridSpan w:val="4"/>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Executive Chairman</w:t>
                  </w:r>
                </w:p>
              </w:tc>
            </w:tr>
          </w:tbl>
          <w:p>
            <w:pPr>
              <w:pStyle w:val="TableContents"/>
              <w:bidi w:val="0"/>
              <w:spacing w:before="0" w:after="283"/>
              <w:jc w:val="left"/>
              <w:rPr>
                <w:sz w:val="4"/>
                <w:szCs w:val="4"/>
              </w:rPr>
            </w:pPr>
            <w:r>
              <w:rPr>
                <w:sz w:val="4"/>
                <w:szCs w:val="4"/>
              </w:rPr>
            </w:r>
          </w:p>
        </w:tc>
        <w:tc>
          <w:tcPr>
            <w:tcW w:w="160"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3. Date of Earliest Transaction (Month/Day/Year)</w:t>
            </w:r>
            <w:r>
              <w:rPr/>
              <w:br/>
            </w:r>
            <w:r>
              <w:rPr>
                <w:rFonts w:ascii="Times;serif" w:hAnsi="Times;serif"/>
                <w:color w:val="0000FF"/>
                <w:sz w:val="24"/>
                <w:shd w:fill="FFFFFF" w:val="clear"/>
              </w:rPr>
              <w:t>04/17/2024</w:t>
            </w:r>
            <w:r>
              <w:rPr/>
              <w:t xml:space="preserve"> </w:t>
            </w:r>
          </w:p>
        </w:tc>
        <w:tc>
          <w:tcPr>
            <w:tcW w:w="2942"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4. If Amendment, Date of Original Filed (Month/Day/Year)</w:t>
            </w:r>
          </w:p>
        </w:tc>
        <w:tc>
          <w:tcPr>
            <w:tcW w:w="2942" w:type="dxa"/>
            <w:tcBorders>
              <w:left w:val="single" w:sz="2"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 xml:space="preserve">6. Individual or Joint/Group Filing (Check Applicable Line) </w:t>
            </w:r>
          </w:p>
          <w:tbl>
            <w:tblPr>
              <w:tblW w:w="5000" w:type="pct"/>
              <w:jc w:val="left"/>
              <w:tblInd w:w="0" w:type="dxa"/>
              <w:tblLayout w:type="fixed"/>
              <w:tblCellMar>
                <w:top w:w="28" w:type="dxa"/>
                <w:left w:w="28" w:type="dxa"/>
                <w:bottom w:w="28" w:type="dxa"/>
                <w:right w:w="28" w:type="dxa"/>
              </w:tblCellMar>
            </w:tblPr>
            <w:tblGrid>
              <w:gridCol w:w="422"/>
              <w:gridCol w:w="2400"/>
            </w:tblGrid>
            <w:tr>
              <w:trPr/>
              <w:tc>
                <w:tcPr>
                  <w:tcW w:w="422"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One Reporting Person</w:t>
                  </w:r>
                </w:p>
              </w:tc>
            </w:tr>
            <w:tr>
              <w:trPr/>
              <w:tc>
                <w:tcPr>
                  <w:tcW w:w="422" w:type="dxa"/>
                  <w:tcBorders/>
                  <w:vAlign w:val="center"/>
                </w:tcPr>
                <w:p>
                  <w:pPr>
                    <w:pStyle w:val="TableContents"/>
                    <w:bidi w:val="0"/>
                    <w:spacing w:before="0" w:after="283"/>
                    <w:jc w:val="left"/>
                    <w:rPr>
                      <w:sz w:val="4"/>
                      <w:szCs w:val="4"/>
                    </w:rPr>
                  </w:pPr>
                  <w:r>
                    <w:rPr>
                      <w:sz w:val="4"/>
                      <w:szCs w:val="4"/>
                    </w:rPr>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More than One Reporting Person</w:t>
                  </w:r>
                </w:p>
              </w:tc>
            </w:tr>
          </w:tbl>
          <w:p>
            <w:pPr>
              <w:pStyle w:val="TableContents"/>
              <w:bidi w:val="0"/>
              <w:spacing w:before="0" w:after="283"/>
              <w:jc w:val="left"/>
              <w:rPr>
                <w:sz w:val="4"/>
                <w:szCs w:val="4"/>
              </w:rPr>
            </w:pPr>
            <w:r>
              <w:rPr>
                <w:sz w:val="4"/>
                <w:szCs w:val="4"/>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6654" w:type="dxa"/>
            <w:gridSpan w:val="3"/>
            <w:tcBorders>
              <w:left w:val="single" w:sz="2" w:space="0" w:color="808080"/>
              <w:bottom w:val="single" w:sz="6" w:space="0" w:color="808080"/>
              <w:right w:val="single" w:sz="6" w:space="0" w:color="808080"/>
            </w:tcBorders>
          </w:tcPr>
          <w:tbl>
            <w:tblPr>
              <w:tblW w:w="5000" w:type="pct"/>
              <w:jc w:val="left"/>
              <w:tblInd w:w="0" w:type="dxa"/>
              <w:tblLayout w:type="fixed"/>
              <w:tblCellMar>
                <w:top w:w="0" w:type="dxa"/>
                <w:left w:w="0" w:type="dxa"/>
                <w:bottom w:w="0" w:type="dxa"/>
                <w:right w:w="0" w:type="dxa"/>
              </w:tblCellMar>
            </w:tblPr>
            <w:tblGrid>
              <w:gridCol w:w="6534"/>
            </w:tblGrid>
            <w:tr>
              <w:trPr/>
              <w:tc>
                <w:tcPr>
                  <w:tcW w:w="6534" w:type="dxa"/>
                  <w:tcBorders/>
                  <w:vAlign w:val="center"/>
                </w:tcPr>
                <w:p>
                  <w:pPr>
                    <w:pStyle w:val="TableContents"/>
                    <w:bidi w:val="0"/>
                    <w:spacing w:before="0" w:after="283"/>
                    <w:jc w:val="left"/>
                    <w:rPr/>
                  </w:pPr>
                  <w:r>
                    <w:rPr/>
                    <w:t>Rule 10b5-1(c) Transaction Indication</w:t>
                  </w:r>
                </w:p>
              </w:tc>
            </w:tr>
          </w:tbl>
          <w:p>
            <w:pPr>
              <w:pStyle w:val="TableContents"/>
              <w:bidi w:val="0"/>
              <w:spacing w:before="0" w:after="0"/>
              <w:jc w:val="left"/>
              <w:rPr/>
            </w:pPr>
            <w:r>
              <w:rPr/>
            </w:r>
          </w:p>
          <w:tbl>
            <w:tblPr>
              <w:tblW w:w="5000" w:type="pct"/>
              <w:jc w:val="left"/>
              <w:tblInd w:w="0" w:type="dxa"/>
              <w:tblLayout w:type="fixed"/>
              <w:tblCellMar>
                <w:top w:w="0" w:type="dxa"/>
                <w:left w:w="0" w:type="dxa"/>
                <w:bottom w:w="0" w:type="dxa"/>
                <w:right w:w="0" w:type="dxa"/>
              </w:tblCellMar>
            </w:tblPr>
            <w:tblGrid>
              <w:gridCol w:w="231"/>
              <w:gridCol w:w="6303"/>
            </w:tblGrid>
            <w:tr>
              <w:trPr/>
              <w:tc>
                <w:tcPr>
                  <w:tcW w:w="231" w:type="dxa"/>
                  <w:tcBorders/>
                  <w:vAlign w:val="center"/>
                </w:tcPr>
                <w:tbl>
                  <w:tblPr>
                    <w:tblW w:w="346" w:type="dxa"/>
                    <w:jc w:val="left"/>
                    <w:tblInd w:w="0" w:type="dxa"/>
                    <w:tblLayout w:type="fixed"/>
                    <w:tblCellMar>
                      <w:top w:w="28" w:type="dxa"/>
                      <w:left w:w="28" w:type="dxa"/>
                      <w:bottom w:w="28" w:type="dxa"/>
                      <w:right w:w="28" w:type="dxa"/>
                    </w:tblCellMar>
                  </w:tblPr>
                  <w:tblGrid>
                    <w:gridCol w:w="346"/>
                  </w:tblGrid>
                  <w:tr>
                    <w:trPr/>
                    <w:tc>
                      <w:tcPr>
                        <w:tcW w:w="346" w:type="dxa"/>
                        <w:tcBorders>
                          <w:top w:val="single" w:sz="2" w:space="0" w:color="000000"/>
                          <w:left w:val="single" w:sz="2" w:space="0" w:color="000000"/>
                          <w:bottom w:val="single" w:sz="2" w:space="0" w:color="000000"/>
                          <w:right w:val="single" w:sz="2" w:space="0" w:color="00000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X</w:t>
                        </w:r>
                      </w:p>
                    </w:tc>
                  </w:tr>
                </w:tbl>
                <w:p>
                  <w:pPr>
                    <w:pStyle w:val="TableContents"/>
                    <w:bidi w:val="0"/>
                    <w:spacing w:before="0" w:after="283"/>
                    <w:jc w:val="left"/>
                    <w:rPr>
                      <w:sz w:val="4"/>
                      <w:szCs w:val="4"/>
                    </w:rPr>
                  </w:pPr>
                  <w:r>
                    <w:rPr>
                      <w:sz w:val="4"/>
                      <w:szCs w:val="4"/>
                    </w:rPr>
                  </w:r>
                </w:p>
              </w:tc>
              <w:tc>
                <w:tcPr>
                  <w:tcW w:w="6303"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Check this box to indicate that a transaction was made pursuant to a contract, instruction or written plan that is intended to satisfy the affirmative defense conditions of Rule 10b5-1(c). See Instruction 10.</w:t>
                  </w:r>
                </w:p>
              </w:tc>
            </w:tr>
          </w:tbl>
          <w:p>
            <w:pPr>
              <w:pStyle w:val="TableContents"/>
              <w:bidi w:val="0"/>
              <w:spacing w:before="0" w:after="283"/>
              <w:jc w:val="left"/>
              <w:rPr>
                <w:sz w:val="4"/>
                <w:szCs w:val="4"/>
              </w:rPr>
            </w:pPr>
            <w:r>
              <w:rPr>
                <w:sz w:val="4"/>
                <w:szCs w:val="4"/>
              </w:rPr>
            </w:r>
          </w:p>
        </w:tc>
      </w:tr>
    </w:tbl>
    <w:tbl>
      <w:tblPr>
        <w:tblW w:w="5000" w:type="pct"/>
        <w:jc w:val="left"/>
        <w:tblInd w:w="-7" w:type="dxa"/>
        <w:tblLayout w:type="fixed"/>
        <w:tblCellMar>
          <w:top w:w="60" w:type="dxa"/>
          <w:left w:w="60" w:type="dxa"/>
          <w:bottom w:w="60" w:type="dxa"/>
          <w:right w:w="60" w:type="dxa"/>
        </w:tblCellMar>
      </w:tblPr>
      <w:tblGrid>
        <w:gridCol w:w="2149"/>
        <w:gridCol w:w="925"/>
        <w:gridCol w:w="793"/>
        <w:gridCol w:w="614"/>
        <w:gridCol w:w="347"/>
        <w:gridCol w:w="833"/>
        <w:gridCol w:w="437"/>
        <w:gridCol w:w="1043"/>
        <w:gridCol w:w="1145"/>
        <w:gridCol w:w="988"/>
        <w:gridCol w:w="931"/>
      </w:tblGrid>
      <w:tr>
        <w:trPr>
          <w:tblHeader w:val="true"/>
        </w:trPr>
        <w:tc>
          <w:tcPr>
            <w:tcW w:w="10205" w:type="dxa"/>
            <w:gridSpan w:val="11"/>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sz w:val="24"/>
              </w:rPr>
            </w:pPr>
            <w:r>
              <w:rPr>
                <w:rFonts w:ascii="arial;helvetica;sans-serif" w:hAnsi="arial;helvetica;sans-serif"/>
                <w:b/>
                <w:sz w:val="24"/>
              </w:rPr>
              <w:t>Table I - Non-Derivative Securities Acquired, Disposed of, or Beneficially Owned</w:t>
            </w:r>
          </w:p>
        </w:tc>
      </w:tr>
      <w:tr>
        <w:trPr>
          <w:tblHeader w:val="true"/>
        </w:trPr>
        <w:tc>
          <w:tcPr>
            <w:tcW w:w="2149"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20"/>
              </w:rPr>
            </w:pPr>
            <w:r>
              <w:rPr>
                <w:rFonts w:ascii="arial;helvetica;sans-serif" w:hAnsi="arial;helvetica;sans-serif"/>
                <w:sz w:val="20"/>
              </w:rPr>
              <w:t xml:space="preserve">1. Title of Security (Instr. 3) </w:t>
            </w:r>
          </w:p>
        </w:tc>
        <w:tc>
          <w:tcPr>
            <w:tcW w:w="92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 Transaction Date (Month/Day/Year)</w:t>
            </w:r>
          </w:p>
        </w:tc>
        <w:tc>
          <w:tcPr>
            <w:tcW w:w="793"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2A. Deemed Execution Date, if any (Month/Day/Year)</w:t>
            </w:r>
          </w:p>
        </w:tc>
        <w:tc>
          <w:tcPr>
            <w:tcW w:w="96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3. Transaction Code (Instr. 8) </w:t>
            </w:r>
          </w:p>
        </w:tc>
        <w:tc>
          <w:tcPr>
            <w:tcW w:w="2313" w:type="dxa"/>
            <w:gridSpan w:val="3"/>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Securities Acquired (A) or Disposed Of (D) (Instr. 3, 4 and 5) </w:t>
            </w:r>
          </w:p>
        </w:tc>
        <w:tc>
          <w:tcPr>
            <w:tcW w:w="114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Amount of Securities Beneficially Owned Following Reported Transaction(s) (Instr. 3 and 4) </w:t>
            </w:r>
          </w:p>
        </w:tc>
        <w:tc>
          <w:tcPr>
            <w:tcW w:w="988"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6. Ownership Form: Direct (D) or Indirect (I) (Instr. 4) </w:t>
            </w:r>
          </w:p>
        </w:tc>
        <w:tc>
          <w:tcPr>
            <w:tcW w:w="9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Nature of Indirect Beneficial Ownership (Instr. 4) </w:t>
            </w:r>
          </w:p>
        </w:tc>
      </w:tr>
      <w:tr>
        <w:trPr>
          <w:tblHeader w:val="true"/>
        </w:trPr>
        <w:tc>
          <w:tcPr>
            <w:tcW w:w="2149"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925"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93"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614"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47"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83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w:t>
            </w:r>
          </w:p>
        </w:tc>
        <w:tc>
          <w:tcPr>
            <w:tcW w:w="437"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 or (D)</w:t>
            </w:r>
          </w:p>
        </w:tc>
        <w:tc>
          <w:tcPr>
            <w:tcW w:w="104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Price</w:t>
            </w:r>
          </w:p>
        </w:tc>
        <w:tc>
          <w:tcPr>
            <w:tcW w:w="1145"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88"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31"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M</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A</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121.43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24</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1,140.79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4,976</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41</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1,144.44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4,935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34</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1,146.75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4,901</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43</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1,147.05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4,858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33</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1,148.96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4,825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1,150.7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4,725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37</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1,151.02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4,688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165</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1,154.55</w:t>
            </w:r>
            <w:r>
              <w:rPr>
                <w:rFonts w:ascii="Times;serif" w:hAnsi="Times;serif"/>
                <w:color w:val="008000"/>
                <w:position w:val="7"/>
                <w:sz w:val="16"/>
                <w:sz w:val="20"/>
                <w:shd w:fill="FFFFFF" w:val="clear"/>
              </w:rPr>
              <w:t>(2)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4,523</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36</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1,156.5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4,487</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81</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1,160.46</w:t>
            </w:r>
            <w:r>
              <w:rPr>
                <w:rFonts w:ascii="Times;serif" w:hAnsi="Times;serif"/>
                <w:color w:val="008000"/>
                <w:position w:val="7"/>
                <w:sz w:val="16"/>
                <w:sz w:val="20"/>
                <w:shd w:fill="FFFFFF" w:val="clear"/>
              </w:rPr>
              <w:t>(3)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4,406</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127</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1,161.62</w:t>
            </w:r>
            <w:r>
              <w:rPr>
                <w:rFonts w:ascii="Times;serif" w:hAnsi="Times;serif"/>
                <w:color w:val="008000"/>
                <w:position w:val="7"/>
                <w:sz w:val="16"/>
                <w:sz w:val="20"/>
                <w:shd w:fill="FFFFFF" w:val="clear"/>
              </w:rPr>
              <w:t>(4)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4,279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1,163.4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3,979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71</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1,164.63</w:t>
            </w:r>
            <w:r>
              <w:rPr>
                <w:rFonts w:ascii="Times;serif" w:hAnsi="Times;serif"/>
                <w:color w:val="008000"/>
                <w:position w:val="7"/>
                <w:sz w:val="16"/>
                <w:sz w:val="20"/>
                <w:shd w:fill="FFFFFF" w:val="clear"/>
              </w:rPr>
              <w:t>(5)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3,908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36</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1,166.04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3,872</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1,168.95</w:t>
            </w:r>
            <w:r>
              <w:rPr>
                <w:rFonts w:ascii="Times;serif" w:hAnsi="Times;serif"/>
                <w:color w:val="008000"/>
                <w:position w:val="7"/>
                <w:sz w:val="16"/>
                <w:sz w:val="20"/>
                <w:shd w:fill="FFFFFF" w:val="clear"/>
              </w:rPr>
              <w:t>(6)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3,572</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37</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1,170.11</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3,535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1,172.73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3,485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118</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1,173.61</w:t>
            </w:r>
            <w:r>
              <w:rPr>
                <w:rFonts w:ascii="Times;serif" w:hAnsi="Times;serif"/>
                <w:color w:val="008000"/>
                <w:position w:val="7"/>
                <w:sz w:val="16"/>
                <w:sz w:val="20"/>
                <w:shd w:fill="FFFFFF" w:val="clear"/>
              </w:rPr>
              <w:t>(7)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3,367</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151</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1,175.29</w:t>
            </w:r>
            <w:r>
              <w:rPr>
                <w:rFonts w:ascii="Times;serif" w:hAnsi="Times;serif"/>
                <w:color w:val="008000"/>
                <w:position w:val="7"/>
                <w:sz w:val="16"/>
                <w:sz w:val="20"/>
                <w:shd w:fill="FFFFFF" w:val="clear"/>
              </w:rPr>
              <w:t>(8)</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3,216</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15</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1,176.72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3,201</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39</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1,177.55</w:t>
            </w:r>
            <w:r>
              <w:rPr>
                <w:rFonts w:ascii="Times;serif" w:hAnsi="Times;serif"/>
                <w:color w:val="008000"/>
                <w:position w:val="7"/>
                <w:sz w:val="16"/>
                <w:sz w:val="20"/>
                <w:shd w:fill="FFFFFF" w:val="clear"/>
              </w:rPr>
              <w:t>(9)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3,162</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1,178.5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3,062</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49</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1,180.22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3,013</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1,181.98</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2,913</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34</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1,182.03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2,879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1,183.96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2,779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114</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1,186.69</w:t>
            </w:r>
            <w:r>
              <w:rPr>
                <w:rFonts w:ascii="Times;serif" w:hAnsi="Times;serif"/>
                <w:color w:val="008000"/>
                <w:position w:val="7"/>
                <w:sz w:val="16"/>
                <w:sz w:val="20"/>
                <w:shd w:fill="FFFFFF" w:val="clear"/>
              </w:rPr>
              <w:t>(10)</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2,665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35</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1,187.21</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2,630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148</w:t>
            </w:r>
          </w:p>
        </w:tc>
        <w:tc>
          <w:tcPr>
            <w:tcW w:w="437"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1,188.43</w:t>
            </w:r>
            <w:r>
              <w:rPr>
                <w:rFonts w:ascii="Times;serif" w:hAnsi="Times;serif"/>
                <w:color w:val="008000"/>
                <w:position w:val="7"/>
                <w:sz w:val="16"/>
                <w:sz w:val="20"/>
                <w:shd w:fill="FFFFFF" w:val="clear"/>
              </w:rPr>
              <w:t>(11)</w:t>
            </w:r>
            <w:r>
              <w:rPr/>
              <w:t xml:space="preserve"> </w:t>
            </w:r>
          </w:p>
        </w:tc>
        <w:tc>
          <w:tcPr>
            <w:tcW w:w="1145"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2,482</w:t>
            </w:r>
          </w:p>
        </w:tc>
        <w:tc>
          <w:tcPr>
            <w:tcW w:w="988"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r>
    </w:tbl>
    <w:tbl>
      <w:tblPr>
        <w:tblW w:w="12419" w:type="dxa"/>
        <w:jc w:val="left"/>
        <w:tblInd w:w="-7" w:type="dxa"/>
        <w:tblLayout w:type="fixed"/>
        <w:tblCellMar>
          <w:top w:w="60" w:type="dxa"/>
          <w:left w:w="60" w:type="dxa"/>
          <w:bottom w:w="60" w:type="dxa"/>
          <w:right w:w="60" w:type="dxa"/>
        </w:tblCellMar>
      </w:tblPr>
      <w:tblGrid>
        <w:gridCol w:w="980"/>
        <w:gridCol w:w="861"/>
        <w:gridCol w:w="891"/>
        <w:gridCol w:w="771"/>
        <w:gridCol w:w="591"/>
        <w:gridCol w:w="300"/>
        <w:gridCol w:w="276"/>
        <w:gridCol w:w="606"/>
        <w:gridCol w:w="906"/>
        <w:gridCol w:w="801"/>
        <w:gridCol w:w="891"/>
        <w:gridCol w:w="1101"/>
        <w:gridCol w:w="801"/>
        <w:gridCol w:w="966"/>
        <w:gridCol w:w="831"/>
        <w:gridCol w:w="846"/>
      </w:tblGrid>
      <w:tr>
        <w:trPr>
          <w:tblHeader w:val="true"/>
        </w:trPr>
        <w:tc>
          <w:tcPr>
            <w:tcW w:w="12419" w:type="dxa"/>
            <w:gridSpan w:val="16"/>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val="false"/>
                <w:sz w:val="24"/>
              </w:rPr>
            </w:pPr>
            <w:r>
              <w:rPr>
                <w:rFonts w:ascii="arial;helvetica;sans-serif" w:hAnsi="arial;helvetica;sans-serif"/>
                <w:b/>
                <w:sz w:val="24"/>
              </w:rPr>
              <w:t>Table II - Derivative Securities Acquired, Disposed of, or Beneficially Owned</w:t>
            </w:r>
            <w:r>
              <w:rPr>
                <w:rFonts w:ascii="arial;helvetica;sans-serif" w:hAnsi="arial;helvetica;sans-serif"/>
                <w:b w:val="false"/>
                <w:sz w:val="24"/>
              </w:rPr>
              <w:br/>
            </w:r>
            <w:r>
              <w:rPr>
                <w:rFonts w:ascii="arial;helvetica;sans-serif" w:hAnsi="arial;helvetica;sans-serif"/>
                <w:b/>
                <w:sz w:val="24"/>
              </w:rPr>
              <w:t>(e.g., puts, calls, warrants, options, convertible securities)</w:t>
            </w:r>
            <w:r>
              <w:rPr>
                <w:rFonts w:ascii="arial;helvetica;sans-serif" w:hAnsi="arial;helvetica;sans-serif"/>
                <w:b w:val="false"/>
                <w:sz w:val="24"/>
              </w:rPr>
              <w:t xml:space="preserve"> </w:t>
            </w:r>
          </w:p>
        </w:tc>
      </w:tr>
      <w:tr>
        <w:trPr>
          <w:tblHeader w:val="true"/>
        </w:trPr>
        <w:tc>
          <w:tcPr>
            <w:tcW w:w="980"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 Title of Derivative Security (Instr. 3) </w:t>
            </w:r>
          </w:p>
        </w:tc>
        <w:tc>
          <w:tcPr>
            <w:tcW w:w="86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2. Conversion or Exercise Price of Derivative Security </w:t>
            </w:r>
          </w:p>
        </w:tc>
        <w:tc>
          <w:tcPr>
            <w:tcW w:w="8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 Transaction Date (Month/Day/Year)</w:t>
            </w:r>
          </w:p>
        </w:tc>
        <w:tc>
          <w:tcPr>
            <w:tcW w:w="77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3A. Deemed Execution Date, if any (Month/Day/Year)</w:t>
            </w:r>
          </w:p>
        </w:tc>
        <w:tc>
          <w:tcPr>
            <w:tcW w:w="89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Transaction Code (Instr. 8) </w:t>
            </w:r>
          </w:p>
        </w:tc>
        <w:tc>
          <w:tcPr>
            <w:tcW w:w="88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Number of Derivative Securities Acquired (A) or Disposed of (D) (Instr. 3, 4 and 5) </w:t>
            </w:r>
          </w:p>
        </w:tc>
        <w:tc>
          <w:tcPr>
            <w:tcW w:w="1707"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6. Date Exercisable and Expiration Date (Month/Day/Year)</w:t>
            </w:r>
          </w:p>
        </w:tc>
        <w:tc>
          <w:tcPr>
            <w:tcW w:w="199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Title and Amount of Securities Underlying Derivative Security (Instr. 3 and 4) </w:t>
            </w:r>
          </w:p>
        </w:tc>
        <w:tc>
          <w:tcPr>
            <w:tcW w:w="80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8. Price of Derivative Security (Instr. 5) </w:t>
            </w:r>
          </w:p>
        </w:tc>
        <w:tc>
          <w:tcPr>
            <w:tcW w:w="96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9. Number of derivative Securities Beneficially Owned Following Reported Transaction(s) (Instr. 4) </w:t>
            </w:r>
          </w:p>
        </w:tc>
        <w:tc>
          <w:tcPr>
            <w:tcW w:w="8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10. Ownership Form: Direct (D) or Indirect (I) (Instr. 4) </w:t>
            </w:r>
          </w:p>
        </w:tc>
        <w:tc>
          <w:tcPr>
            <w:tcW w:w="84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11. Nature of Indirect Beneficial Ownership (Instr. 4) </w:t>
            </w:r>
          </w:p>
        </w:tc>
      </w:tr>
      <w:tr>
        <w:trPr>
          <w:tblHeader w:val="true"/>
        </w:trPr>
        <w:tc>
          <w:tcPr>
            <w:tcW w:w="980"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86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9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7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5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00"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27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w:t>
            </w:r>
          </w:p>
        </w:tc>
        <w:tc>
          <w:tcPr>
            <w:tcW w:w="6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w:t>
            </w:r>
          </w:p>
        </w:tc>
        <w:tc>
          <w:tcPr>
            <w:tcW w:w="9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Date Exercisable</w:t>
            </w:r>
          </w:p>
        </w:tc>
        <w:tc>
          <w:tcPr>
            <w:tcW w:w="8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Expiration Date</w:t>
            </w:r>
          </w:p>
        </w:tc>
        <w:tc>
          <w:tcPr>
            <w:tcW w:w="8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Title</w:t>
            </w:r>
          </w:p>
        </w:tc>
        <w:tc>
          <w:tcPr>
            <w:tcW w:w="11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 or Number of Shares</w:t>
            </w:r>
          </w:p>
        </w:tc>
        <w:tc>
          <w:tcPr>
            <w:tcW w:w="80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66"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3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46"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980"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Employee Stock Option (Right to buy)</w:t>
            </w:r>
          </w:p>
        </w:tc>
        <w:tc>
          <w:tcPr>
            <w:tcW w:w="86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121.43</w:t>
            </w:r>
            <w:r>
              <w:rPr/>
              <w:t xml:space="preserve"> </w:t>
            </w:r>
          </w:p>
        </w:tc>
        <w:tc>
          <w:tcPr>
            <w:tcW w:w="8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04/17/2024</w:t>
            </w:r>
          </w:p>
        </w:tc>
        <w:tc>
          <w:tcPr>
            <w:tcW w:w="77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M</w:t>
            </w:r>
          </w:p>
        </w:tc>
        <w:tc>
          <w:tcPr>
            <w:tcW w:w="300"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0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5,000</w:t>
            </w:r>
          </w:p>
        </w:tc>
        <w:tc>
          <w:tcPr>
            <w:tcW w:w="90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(12)</w:t>
            </w:r>
            <w:r>
              <w:rPr/>
              <w:t xml:space="preserve"> </w:t>
            </w:r>
          </w:p>
        </w:tc>
        <w:tc>
          <w:tcPr>
            <w:tcW w:w="80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04/30/2024</w:t>
            </w:r>
          </w:p>
        </w:tc>
        <w:tc>
          <w:tcPr>
            <w:tcW w:w="8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110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80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0</w:t>
            </w:r>
            <w:r>
              <w:rPr/>
              <w:t xml:space="preserve"> </w:t>
            </w:r>
          </w:p>
        </w:tc>
        <w:tc>
          <w:tcPr>
            <w:tcW w:w="96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30,000</w:t>
            </w:r>
          </w:p>
        </w:tc>
        <w:tc>
          <w:tcPr>
            <w:tcW w:w="83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D</w:t>
            </w:r>
          </w:p>
        </w:tc>
        <w:tc>
          <w:tcPr>
            <w:tcW w:w="846"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980"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Class B Common Stock</w:t>
            </w:r>
          </w:p>
        </w:tc>
        <w:tc>
          <w:tcPr>
            <w:tcW w:w="86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8000"/>
                <w:position w:val="7"/>
                <w:sz w:val="16"/>
                <w:sz w:val="20"/>
                <w:shd w:fill="FFFFFF" w:val="clear"/>
              </w:rPr>
            </w:pPr>
            <w:r>
              <w:rPr>
                <w:rFonts w:ascii="Times;serif" w:hAnsi="Times;serif"/>
                <w:color w:val="008000"/>
                <w:position w:val="7"/>
                <w:sz w:val="16"/>
                <w:sz w:val="20"/>
                <w:shd w:fill="FFFFFF" w:val="clear"/>
              </w:rPr>
              <w:t>(13)</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7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300"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0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0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(13)</w:t>
            </w:r>
            <w:r>
              <w:rPr/>
              <w:t xml:space="preserve"> </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(13)</w:t>
            </w:r>
            <w:r>
              <w:rPr/>
              <w:t xml:space="preserve"> </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11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1,961,668</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6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1,961,668</w:t>
            </w:r>
          </w:p>
        </w:tc>
        <w:tc>
          <w:tcPr>
            <w:tcW w:w="83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I</w:t>
            </w:r>
          </w:p>
        </w:tc>
        <w:tc>
          <w:tcPr>
            <w:tcW w:w="84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Times;serif" w:hAnsi="Times;serif"/>
                <w:color w:val="0000FF"/>
                <w:sz w:val="20"/>
                <w:shd w:fill="FFFFFF" w:val="clear"/>
              </w:rPr>
              <w:t>Shares owned by LLC</w:t>
            </w:r>
            <w:r>
              <w:rPr>
                <w:rFonts w:ascii="Times;serif" w:hAnsi="Times;serif"/>
                <w:color w:val="008000"/>
                <w:position w:val="7"/>
                <w:sz w:val="16"/>
                <w:sz w:val="20"/>
                <w:shd w:fill="FFFFFF" w:val="clear"/>
              </w:rPr>
              <w:t>(14)</w:t>
            </w:r>
            <w:r>
              <w:rPr/>
              <w:t xml:space="preserve"> </w:t>
            </w:r>
          </w:p>
        </w:tc>
      </w:tr>
    </w:tbl>
    <w:tbl>
      <w:tblPr>
        <w:tblW w:w="5000" w:type="pct"/>
        <w:jc w:val="left"/>
        <w:tblInd w:w="0" w:type="dxa"/>
        <w:tblLayout w:type="fixed"/>
        <w:tblCellMar>
          <w:top w:w="28" w:type="dxa"/>
          <w:left w:w="28" w:type="dxa"/>
          <w:bottom w:w="28" w:type="dxa"/>
          <w:right w:w="28" w:type="dxa"/>
        </w:tblCellMar>
      </w:tblPr>
      <w:tblGrid>
        <w:gridCol w:w="10205"/>
      </w:tblGrid>
      <w:tr>
        <w:trPr/>
        <w:tc>
          <w:tcPr>
            <w:tcW w:w="10205" w:type="dxa"/>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Explanation of Responses: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 This transaction was effected pursuant to a Rule 10b5-1 trading plan adopted by the reporting person on September 19, 2023.</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2. The reported price is a weighted average price. These shares were sold in multiple transactions at prices ranging from $1,154.09 to $1,154.91,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3. The reported price is a weighted average price. These shares were sold in multiple transactions at prices ranging from $1,160.15 to $1,160.80,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4. The reported price is a weighted average price. These shares were sold in multiple transactions at prices ranging from $1,161.05 to $1,162.00,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5. The reported price is a weighted average price. These shares were sold in multiple transactions at prices ranging from $1,164.62 to $1,164.64,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6. The reported price is a weighted average price. These shares were sold in multiple transactions at prices ranging from $1,168.93 to $1,168.96,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7. The reported price is a weighted average price. These shares were sold in multiple transactions at prices ranging from $1,173.55 to $1,173.93,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8. The reported price is a weighted average price. These shares were sold in multiple transactions at prices ranging from $1,175.00 to $1,175.92,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9. The reported price is a weighted average price. These shares were sold in multiple transactions at prices ranging from $1,177.48 to $1,177.56,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10. The reported price is a weighted average price. These shares were sold in multiple transactions at prices ranging from $1,186.54 to $1,186.98,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11. The reported price is a weighted average price. These shares were sold in multiple transactions at prices ranging from $1,188.05 to $1,188.81,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12. The option vested in four equal installments on April 30, 2015, 2016, 2017 and 2018. The option is fully vested and exercisable.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13. Shares of Class B Common Stock are convertible immediately upon receipt into shares of Class A Common Stock on a 1-for-1 basis and have no expiration date.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14. Shares that are indicated as being "owned by LLC" are owned directly by Alcantara LLC (the "LLC"), and indirectly by Mr. Saylor as the sole member of the LLC.</w:t>
            </w:r>
          </w:p>
        </w:tc>
      </w:tr>
      <w:tr>
        <w:trPr/>
        <w:tc>
          <w:tcPr>
            <w:tcW w:w="10205" w:type="dxa"/>
            <w:tcBorders/>
            <w:vAlign w:val="center"/>
          </w:tcPr>
          <w:p>
            <w:pPr>
              <w:pStyle w:val="TableContents"/>
              <w:bidi w:val="0"/>
              <w:spacing w:before="0" w:after="283"/>
              <w:jc w:val="left"/>
              <w:rPr>
                <w:rFonts w:ascii="arial;helvetica;sans-serif" w:hAnsi="arial;helvetica;sans-serif"/>
                <w:b/>
                <w:sz w:val="24"/>
              </w:rPr>
            </w:pPr>
            <w:r>
              <w:rPr>
                <w:rFonts w:ascii="arial;helvetica;sans-serif" w:hAnsi="arial;helvetica;sans-serif"/>
                <w:b/>
                <w:sz w:val="24"/>
              </w:rPr>
              <w:t>Remarks: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Because there are more than 30 rows associated with the reporting person's transactions that occurred on April 17, 2024, and EDGAR will not allow for the entry of more than 30 rows on a single Form 4, this Form 4 is being filed in conjunction with a second Form 4 by the reporting person. The two Forms 4 filed by the reporting person on the date hereof should be read together as one consolidated filing.</w:t>
            </w:r>
          </w:p>
        </w:tc>
      </w:tr>
    </w:tbl>
    <w:tbl>
      <w:tblPr>
        <w:tblW w:w="5000" w:type="pct"/>
        <w:jc w:val="left"/>
        <w:tblInd w:w="0" w:type="dxa"/>
        <w:tblLayout w:type="fixed"/>
        <w:tblCellMar>
          <w:top w:w="28" w:type="dxa"/>
          <w:left w:w="28" w:type="dxa"/>
          <w:bottom w:w="28" w:type="dxa"/>
          <w:right w:w="28" w:type="dxa"/>
        </w:tblCellMar>
      </w:tblPr>
      <w:tblGrid>
        <w:gridCol w:w="6123"/>
        <w:gridCol w:w="2041"/>
        <w:gridCol w:w="2041"/>
      </w:tblGrid>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/s/ Joseph Phillips, Attorney-in-Fact</w:t>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04/18/2024</w:t>
            </w:r>
          </w:p>
        </w:tc>
      </w:tr>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Signature of Reporting Person</w:t>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Date</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Reminder: Report on a separate line for each class of securities beneficially owned directly or indirectly.</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If the form is filed by more than one reporting person, </w:t>
            </w:r>
            <w:r>
              <w:rPr>
                <w:rFonts w:ascii="arial;helvetica;sans-serif" w:hAnsi="arial;helvetica;sans-serif"/>
                <w:i/>
                <w:sz w:val="20"/>
              </w:rPr>
              <w:t>see</w:t>
            </w:r>
            <w:r>
              <w:rPr>
                <w:rFonts w:ascii="arial;helvetica;sans-serif" w:hAnsi="arial;helvetica;sans-serif"/>
                <w:sz w:val="20"/>
              </w:rPr>
              <w:t xml:space="preserve"> Instruction 4 (b)(v).</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Intentional misstatements or omissions of facts constitute Federal Criminal Violations </w:t>
            </w:r>
            <w:r>
              <w:rPr>
                <w:rFonts w:ascii="arial;helvetica;sans-serif" w:hAnsi="arial;helvetica;sans-serif"/>
                <w:i/>
                <w:sz w:val="20"/>
              </w:rPr>
              <w:t>See</w:t>
            </w:r>
            <w:r>
              <w:rPr>
                <w:rFonts w:ascii="arial;helvetica;sans-serif" w:hAnsi="arial;helvetica;sans-serif"/>
                <w:sz w:val="20"/>
              </w:rPr>
              <w:t xml:space="preserve"> 18 U.S.C. 1001 and 15 U.S.C. 78ff(a).</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Note: File three copies of this Form, one of which must be manually signed. If space is insufficient, </w:t>
            </w:r>
            <w:r>
              <w:rPr>
                <w:rFonts w:ascii="arial;helvetica;sans-serif" w:hAnsi="arial;helvetica;sans-serif"/>
                <w:i/>
                <w:sz w:val="20"/>
              </w:rPr>
              <w:t>see</w:t>
            </w:r>
            <w:r>
              <w:rPr>
                <w:rFonts w:ascii="arial;helvetica;sans-serif" w:hAnsi="arial;helvetica;sans-serif"/>
                <w:sz w:val="20"/>
              </w:rPr>
              <w:t xml:space="preserve"> Instruction 6 for procedure.</w:t>
            </w:r>
          </w:p>
        </w:tc>
      </w:tr>
      <w:tr>
        <w:trPr/>
        <w:tc>
          <w:tcPr>
            <w:tcW w:w="10205" w:type="dxa"/>
            <w:gridSpan w:val="3"/>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Persons who respond to the collection of information contained in this form are not required to respond unless the form displays a currently valid OMB Number.</w:t>
            </w:r>
          </w:p>
        </w:tc>
      </w:tr>
    </w:tbl>
    <w:p>
      <w:pPr>
        <w:pStyle w:val="TextBody"/>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arial">
    <w:altName w:val="helvetica"/>
    <w:charset w:val="01"/>
    <w:family w:val="auto"/>
    <w:pitch w:val="default"/>
  </w:font>
  <w:font w:name="Times">
    <w:altName w:val="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insider-checkbox.png" TargetMode="External"/><Relationship Id="rId3" Type="http://schemas.openxmlformats.org/officeDocument/2006/relationships/hyperlink" Target="http://www.sec.gov/cgi-bin/browse-edgar?action=getcompany&amp;CIK=0001079782" TargetMode="External"/><Relationship Id="rId4" Type="http://schemas.openxmlformats.org/officeDocument/2006/relationships/hyperlink" Target="http://www.sec.gov/cgi-bin/browse-edgar?action=getcompany&amp;CIK=0001050446"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1787</Words>
  <Characters>9499</Characters>
  <CharactersWithSpaces>11016</CharactersWithSpaces>
  <Paragraphs>367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